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236F9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PTH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25414">
        <w:rPr>
          <w:rFonts w:ascii="Arial" w:hAnsi="Arial" w:cs="Arial"/>
          <w:b/>
          <w:sz w:val="20"/>
          <w:szCs w:val="20"/>
        </w:rPr>
        <w:t>Annual General Mandate 2020</w:t>
      </w:r>
      <w:r w:rsidR="00AF204F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36F9F">
        <w:rPr>
          <w:rFonts w:ascii="Arial" w:hAnsi="Arial" w:cs="Arial"/>
          <w:sz w:val="20"/>
          <w:szCs w:val="20"/>
        </w:rPr>
        <w:t>18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236F9F" w:rsidRPr="00236F9F">
        <w:rPr>
          <w:rFonts w:ascii="Arial" w:hAnsi="Arial" w:cs="Arial"/>
          <w:sz w:val="20"/>
          <w:szCs w:val="20"/>
        </w:rPr>
        <w:t xml:space="preserve">Ha </w:t>
      </w:r>
      <w:proofErr w:type="spellStart"/>
      <w:r w:rsidR="00236F9F" w:rsidRPr="00236F9F">
        <w:rPr>
          <w:rFonts w:ascii="Arial" w:hAnsi="Arial" w:cs="Arial"/>
          <w:sz w:val="20"/>
          <w:szCs w:val="20"/>
        </w:rPr>
        <w:t>Tay</w:t>
      </w:r>
      <w:proofErr w:type="spellEnd"/>
      <w:r w:rsidR="00236F9F" w:rsidRPr="00236F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6F9F" w:rsidRPr="00236F9F">
        <w:rPr>
          <w:rFonts w:ascii="Arial" w:hAnsi="Arial" w:cs="Arial"/>
          <w:sz w:val="20"/>
          <w:szCs w:val="20"/>
        </w:rPr>
        <w:t>Petrolimex</w:t>
      </w:r>
      <w:proofErr w:type="spellEnd"/>
      <w:r w:rsidR="00236F9F" w:rsidRPr="00236F9F">
        <w:rPr>
          <w:rFonts w:ascii="Arial" w:hAnsi="Arial" w:cs="Arial"/>
          <w:sz w:val="20"/>
          <w:szCs w:val="20"/>
        </w:rPr>
        <w:t xml:space="preserve"> Transportation and Service Joint Stock Company</w:t>
      </w:r>
      <w:r w:rsidR="00236F9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25414">
        <w:rPr>
          <w:rFonts w:ascii="Arial" w:hAnsi="Arial" w:cs="Arial"/>
          <w:sz w:val="20"/>
          <w:szCs w:val="20"/>
        </w:rPr>
        <w:t>annual General Mandate 2020</w:t>
      </w:r>
      <w:r w:rsidR="00AF204F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C917EF" w:rsidRDefault="00236F9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The</w:t>
      </w:r>
      <w:r w:rsidRPr="00236F9F">
        <w:rPr>
          <w:rFonts w:ascii="Arial" w:hAnsi="Arial" w:cs="Arial"/>
          <w:sz w:val="20"/>
          <w:szCs w:val="20"/>
        </w:rPr>
        <w:t xml:space="preserve"> Annual General Meeting of Shareholders in 2020 </w:t>
      </w:r>
      <w:r>
        <w:rPr>
          <w:rFonts w:ascii="Arial" w:hAnsi="Arial" w:cs="Arial"/>
          <w:sz w:val="20"/>
          <w:szCs w:val="20"/>
        </w:rPr>
        <w:t xml:space="preserve">of </w:t>
      </w:r>
      <w:r w:rsidRPr="00236F9F">
        <w:rPr>
          <w:rFonts w:ascii="Arial" w:hAnsi="Arial" w:cs="Arial"/>
          <w:sz w:val="20"/>
          <w:szCs w:val="20"/>
        </w:rPr>
        <w:t xml:space="preserve">Ha </w:t>
      </w:r>
      <w:proofErr w:type="spellStart"/>
      <w:r w:rsidRPr="00236F9F">
        <w:rPr>
          <w:rFonts w:ascii="Arial" w:hAnsi="Arial" w:cs="Arial"/>
          <w:sz w:val="20"/>
          <w:szCs w:val="20"/>
        </w:rPr>
        <w:t>Tay</w:t>
      </w:r>
      <w:proofErr w:type="spellEnd"/>
      <w:r w:rsidRPr="00236F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F9F">
        <w:rPr>
          <w:rFonts w:ascii="Arial" w:hAnsi="Arial" w:cs="Arial"/>
          <w:sz w:val="20"/>
          <w:szCs w:val="20"/>
        </w:rPr>
        <w:t>Petrolimex</w:t>
      </w:r>
      <w:proofErr w:type="spellEnd"/>
      <w:r w:rsidRPr="00236F9F">
        <w:rPr>
          <w:rFonts w:ascii="Arial" w:hAnsi="Arial" w:cs="Arial"/>
          <w:sz w:val="20"/>
          <w:szCs w:val="20"/>
        </w:rPr>
        <w:t xml:space="preserve"> Transportation and Service Joint Stock Company approve</w:t>
      </w:r>
      <w:r>
        <w:rPr>
          <w:rFonts w:ascii="Arial" w:hAnsi="Arial" w:cs="Arial"/>
          <w:sz w:val="20"/>
          <w:szCs w:val="20"/>
        </w:rPr>
        <w:t>d</w:t>
      </w:r>
      <w:r w:rsidRPr="00236F9F">
        <w:rPr>
          <w:rFonts w:ascii="Arial" w:hAnsi="Arial" w:cs="Arial"/>
          <w:sz w:val="20"/>
          <w:szCs w:val="20"/>
        </w:rPr>
        <w:t xml:space="preserve"> the following contents: </w:t>
      </w:r>
    </w:p>
    <w:p w:rsidR="00C917EF" w:rsidRDefault="00236F9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6F9F">
        <w:rPr>
          <w:rFonts w:ascii="Arial" w:hAnsi="Arial" w:cs="Arial"/>
          <w:sz w:val="20"/>
          <w:szCs w:val="20"/>
        </w:rPr>
        <w:t xml:space="preserve">1. </w:t>
      </w:r>
      <w:r w:rsidR="00C917EF">
        <w:rPr>
          <w:rFonts w:ascii="Arial" w:hAnsi="Arial" w:cs="Arial"/>
          <w:sz w:val="20"/>
          <w:szCs w:val="20"/>
        </w:rPr>
        <w:t>Report on operation of the Board of Directors</w:t>
      </w:r>
      <w:r w:rsidRPr="00236F9F">
        <w:rPr>
          <w:rFonts w:ascii="Arial" w:hAnsi="Arial" w:cs="Arial"/>
          <w:sz w:val="20"/>
          <w:szCs w:val="20"/>
        </w:rPr>
        <w:t xml:space="preserve"> i</w:t>
      </w:r>
      <w:r w:rsidR="00C917EF">
        <w:rPr>
          <w:rFonts w:ascii="Arial" w:hAnsi="Arial" w:cs="Arial"/>
          <w:sz w:val="20"/>
          <w:szCs w:val="20"/>
        </w:rPr>
        <w:t>n 2019 and orientation for 2020</w:t>
      </w:r>
    </w:p>
    <w:p w:rsidR="00C917EF" w:rsidRDefault="00236F9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6F9F">
        <w:rPr>
          <w:rFonts w:ascii="Arial" w:hAnsi="Arial" w:cs="Arial"/>
          <w:sz w:val="20"/>
          <w:szCs w:val="20"/>
        </w:rPr>
        <w:t>2. Report on the 2019 business results and the 202</w:t>
      </w:r>
      <w:r w:rsidR="00C917EF">
        <w:rPr>
          <w:rFonts w:ascii="Arial" w:hAnsi="Arial" w:cs="Arial"/>
          <w:sz w:val="20"/>
          <w:szCs w:val="20"/>
        </w:rPr>
        <w:t>0 business plan of the Company;</w:t>
      </w:r>
      <w:r w:rsidRPr="00236F9F">
        <w:rPr>
          <w:rFonts w:ascii="Arial" w:hAnsi="Arial" w:cs="Arial"/>
          <w:sz w:val="20"/>
          <w:szCs w:val="20"/>
        </w:rPr>
        <w:t xml:space="preserve"> </w:t>
      </w:r>
      <w:r w:rsidR="00312733" w:rsidRPr="00236F9F">
        <w:rPr>
          <w:rFonts w:ascii="Arial" w:hAnsi="Arial" w:cs="Arial"/>
          <w:sz w:val="20"/>
          <w:szCs w:val="20"/>
        </w:rPr>
        <w:t>some</w:t>
      </w:r>
      <w:r w:rsidRPr="00236F9F">
        <w:rPr>
          <w:rFonts w:ascii="Arial" w:hAnsi="Arial" w:cs="Arial"/>
          <w:sz w:val="20"/>
          <w:szCs w:val="20"/>
        </w:rPr>
        <w:t xml:space="preserve"> of the main indicators are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182"/>
        <w:gridCol w:w="1588"/>
        <w:gridCol w:w="2242"/>
        <w:gridCol w:w="1916"/>
      </w:tblGrid>
      <w:tr w:rsidR="00C917EF" w:rsidTr="00876050">
        <w:tc>
          <w:tcPr>
            <w:tcW w:w="648" w:type="dxa"/>
          </w:tcPr>
          <w:p w:rsidR="00C917EF" w:rsidRDefault="00C917E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82" w:type="dxa"/>
          </w:tcPr>
          <w:p w:rsidR="00C917EF" w:rsidRDefault="00C917E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588" w:type="dxa"/>
          </w:tcPr>
          <w:p w:rsidR="00C917EF" w:rsidRDefault="00C917E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2242" w:type="dxa"/>
          </w:tcPr>
          <w:p w:rsidR="00C917EF" w:rsidRDefault="00C917E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in 2019</w:t>
            </w:r>
          </w:p>
        </w:tc>
        <w:tc>
          <w:tcPr>
            <w:tcW w:w="1916" w:type="dxa"/>
          </w:tcPr>
          <w:p w:rsidR="00C917EF" w:rsidRDefault="00C917E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for 2020</w:t>
            </w:r>
          </w:p>
        </w:tc>
      </w:tr>
      <w:tr w:rsidR="00494F15" w:rsidTr="00876050">
        <w:tc>
          <w:tcPr>
            <w:tcW w:w="648" w:type="dxa"/>
          </w:tcPr>
          <w:p w:rsidR="00494F15" w:rsidRDefault="00494F15" w:rsidP="00494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82" w:type="dxa"/>
          </w:tcPr>
          <w:p w:rsidR="00494F15" w:rsidRDefault="00494F15" w:rsidP="00494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F9F">
              <w:rPr>
                <w:rFonts w:ascii="Arial" w:hAnsi="Arial" w:cs="Arial"/>
                <w:sz w:val="20"/>
                <w:szCs w:val="20"/>
              </w:rPr>
              <w:t>Transportation output</w:t>
            </w:r>
          </w:p>
        </w:tc>
        <w:tc>
          <w:tcPr>
            <w:tcW w:w="1588" w:type="dxa"/>
          </w:tcPr>
          <w:p w:rsidR="00494F15" w:rsidRDefault="00876050" w:rsidP="00494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M3.km</w:t>
            </w:r>
          </w:p>
        </w:tc>
        <w:tc>
          <w:tcPr>
            <w:tcW w:w="2242" w:type="dxa"/>
          </w:tcPr>
          <w:p w:rsidR="00494F15" w:rsidRDefault="00494F15" w:rsidP="00494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F9F">
              <w:rPr>
                <w:rFonts w:ascii="Arial" w:hAnsi="Arial" w:cs="Arial"/>
                <w:sz w:val="20"/>
                <w:szCs w:val="20"/>
              </w:rPr>
              <w:t>52,222,347</w:t>
            </w:r>
          </w:p>
        </w:tc>
        <w:tc>
          <w:tcPr>
            <w:tcW w:w="1916" w:type="dxa"/>
          </w:tcPr>
          <w:p w:rsidR="00494F15" w:rsidRDefault="00494F15" w:rsidP="00494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F9F">
              <w:rPr>
                <w:rFonts w:ascii="Arial" w:hAnsi="Arial" w:cs="Arial"/>
                <w:sz w:val="20"/>
                <w:szCs w:val="20"/>
              </w:rPr>
              <w:t>48,594,000</w:t>
            </w:r>
          </w:p>
        </w:tc>
      </w:tr>
      <w:tr w:rsidR="00494F15" w:rsidTr="00876050">
        <w:tc>
          <w:tcPr>
            <w:tcW w:w="648" w:type="dxa"/>
          </w:tcPr>
          <w:p w:rsidR="00494F15" w:rsidRDefault="00494F15" w:rsidP="00494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82" w:type="dxa"/>
          </w:tcPr>
          <w:p w:rsidR="00494F15" w:rsidRDefault="00494F15" w:rsidP="00494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Petro sales</w:t>
            </w:r>
          </w:p>
        </w:tc>
        <w:tc>
          <w:tcPr>
            <w:tcW w:w="1588" w:type="dxa"/>
          </w:tcPr>
          <w:p w:rsidR="00494F15" w:rsidRDefault="00876050" w:rsidP="00494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2242" w:type="dxa"/>
          </w:tcPr>
          <w:p w:rsidR="00494F15" w:rsidRDefault="00494F15" w:rsidP="00494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F9F">
              <w:rPr>
                <w:rFonts w:ascii="Arial" w:hAnsi="Arial" w:cs="Arial"/>
                <w:sz w:val="20"/>
                <w:szCs w:val="20"/>
              </w:rPr>
              <w:t>33,074</w:t>
            </w:r>
          </w:p>
        </w:tc>
        <w:tc>
          <w:tcPr>
            <w:tcW w:w="1916" w:type="dxa"/>
          </w:tcPr>
          <w:p w:rsidR="00494F15" w:rsidRDefault="00494F15" w:rsidP="00494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F9F">
              <w:rPr>
                <w:rFonts w:ascii="Arial" w:hAnsi="Arial" w:cs="Arial"/>
                <w:sz w:val="20"/>
                <w:szCs w:val="20"/>
              </w:rPr>
              <w:t>24,800</w:t>
            </w:r>
          </w:p>
        </w:tc>
      </w:tr>
      <w:tr w:rsidR="00494F15" w:rsidTr="00876050">
        <w:tc>
          <w:tcPr>
            <w:tcW w:w="648" w:type="dxa"/>
          </w:tcPr>
          <w:p w:rsidR="00494F15" w:rsidRDefault="00494F15" w:rsidP="00494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82" w:type="dxa"/>
          </w:tcPr>
          <w:p w:rsidR="00494F15" w:rsidRDefault="00494F15" w:rsidP="00494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F9F"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1588" w:type="dxa"/>
          </w:tcPr>
          <w:p w:rsidR="00494F15" w:rsidRDefault="00876050" w:rsidP="00494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242" w:type="dxa"/>
          </w:tcPr>
          <w:p w:rsidR="00494F15" w:rsidRDefault="00494F15" w:rsidP="00494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F9F">
              <w:rPr>
                <w:rFonts w:ascii="Arial" w:hAnsi="Arial" w:cs="Arial"/>
                <w:sz w:val="20"/>
                <w:szCs w:val="20"/>
              </w:rPr>
              <w:t>625,860</w:t>
            </w:r>
          </w:p>
        </w:tc>
        <w:tc>
          <w:tcPr>
            <w:tcW w:w="1916" w:type="dxa"/>
          </w:tcPr>
          <w:p w:rsidR="00494F15" w:rsidRDefault="00494F15" w:rsidP="00494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F9F">
              <w:rPr>
                <w:rFonts w:ascii="Arial" w:hAnsi="Arial" w:cs="Arial"/>
                <w:sz w:val="20"/>
                <w:szCs w:val="20"/>
              </w:rPr>
              <w:t>362,700</w:t>
            </w:r>
          </w:p>
        </w:tc>
      </w:tr>
      <w:tr w:rsidR="00876050" w:rsidTr="00876050">
        <w:tc>
          <w:tcPr>
            <w:tcW w:w="648" w:type="dxa"/>
          </w:tcPr>
          <w:p w:rsidR="00876050" w:rsidRDefault="00876050" w:rsidP="008760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82" w:type="dxa"/>
          </w:tcPr>
          <w:p w:rsidR="00876050" w:rsidRDefault="00876050" w:rsidP="008760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F9F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1588" w:type="dxa"/>
          </w:tcPr>
          <w:p w:rsidR="00876050" w:rsidRDefault="00876050" w:rsidP="00876050">
            <w:r w:rsidRPr="00910423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242" w:type="dxa"/>
          </w:tcPr>
          <w:p w:rsidR="00876050" w:rsidRDefault="00876050" w:rsidP="008760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F9F">
              <w:rPr>
                <w:rFonts w:ascii="Arial" w:hAnsi="Arial" w:cs="Arial"/>
                <w:sz w:val="20"/>
                <w:szCs w:val="20"/>
              </w:rPr>
              <w:t>5,818</w:t>
            </w:r>
          </w:p>
        </w:tc>
        <w:tc>
          <w:tcPr>
            <w:tcW w:w="1916" w:type="dxa"/>
          </w:tcPr>
          <w:p w:rsidR="00876050" w:rsidRDefault="00876050" w:rsidP="008760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F9F">
              <w:rPr>
                <w:rFonts w:ascii="Arial" w:hAnsi="Arial" w:cs="Arial"/>
                <w:sz w:val="20"/>
                <w:szCs w:val="20"/>
              </w:rPr>
              <w:t>4,270</w:t>
            </w:r>
          </w:p>
        </w:tc>
      </w:tr>
      <w:tr w:rsidR="00876050" w:rsidTr="00876050">
        <w:tc>
          <w:tcPr>
            <w:tcW w:w="648" w:type="dxa"/>
          </w:tcPr>
          <w:p w:rsidR="00876050" w:rsidRDefault="00876050" w:rsidP="008760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82" w:type="dxa"/>
          </w:tcPr>
          <w:p w:rsidR="00876050" w:rsidRDefault="00876050" w:rsidP="008760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F9F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1588" w:type="dxa"/>
          </w:tcPr>
          <w:p w:rsidR="00876050" w:rsidRDefault="00876050" w:rsidP="00876050">
            <w:r w:rsidRPr="00910423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242" w:type="dxa"/>
          </w:tcPr>
          <w:p w:rsidR="00876050" w:rsidRDefault="00876050" w:rsidP="008760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F9F">
              <w:rPr>
                <w:rFonts w:ascii="Arial" w:hAnsi="Arial" w:cs="Arial"/>
                <w:sz w:val="20"/>
                <w:szCs w:val="20"/>
              </w:rPr>
              <w:t>4,627</w:t>
            </w:r>
          </w:p>
        </w:tc>
        <w:tc>
          <w:tcPr>
            <w:tcW w:w="1916" w:type="dxa"/>
          </w:tcPr>
          <w:p w:rsidR="00876050" w:rsidRDefault="00876050" w:rsidP="008760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F9F">
              <w:rPr>
                <w:rFonts w:ascii="Arial" w:hAnsi="Arial" w:cs="Arial"/>
                <w:sz w:val="20"/>
                <w:szCs w:val="20"/>
              </w:rPr>
              <w:t>3,390</w:t>
            </w:r>
          </w:p>
        </w:tc>
      </w:tr>
      <w:tr w:rsidR="00494F15" w:rsidTr="00876050">
        <w:tc>
          <w:tcPr>
            <w:tcW w:w="648" w:type="dxa"/>
          </w:tcPr>
          <w:p w:rsidR="00494F15" w:rsidRDefault="00494F15" w:rsidP="00494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82" w:type="dxa"/>
          </w:tcPr>
          <w:p w:rsidR="00494F15" w:rsidRDefault="00494F15" w:rsidP="00494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F9F">
              <w:rPr>
                <w:rFonts w:ascii="Arial" w:hAnsi="Arial" w:cs="Arial"/>
                <w:sz w:val="20"/>
                <w:szCs w:val="20"/>
              </w:rPr>
              <w:t>Dividend payment</w:t>
            </w:r>
          </w:p>
        </w:tc>
        <w:tc>
          <w:tcPr>
            <w:tcW w:w="1588" w:type="dxa"/>
          </w:tcPr>
          <w:p w:rsidR="00494F15" w:rsidRDefault="00876050" w:rsidP="00494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42" w:type="dxa"/>
          </w:tcPr>
          <w:p w:rsidR="00494F15" w:rsidRDefault="00494F15" w:rsidP="00494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F9F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916" w:type="dxa"/>
          </w:tcPr>
          <w:p w:rsidR="00494F15" w:rsidRDefault="00494F15" w:rsidP="00494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F9F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</w:tbl>
    <w:p w:rsidR="00C917EF" w:rsidRDefault="00C917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6050" w:rsidRDefault="0087605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Report on operation of the Supervisory Board of the Company in 2019</w:t>
      </w:r>
    </w:p>
    <w:p w:rsidR="00876050" w:rsidRDefault="0087605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Statement on selecting an auditing company for the financial statement of 2020 of the Company</w:t>
      </w:r>
    </w:p>
    <w:p w:rsidR="00876050" w:rsidRDefault="0087605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Audited financial statement of 2019 and plan on profit distribution for 2019</w:t>
      </w:r>
    </w:p>
    <w:p w:rsidR="00CC7DF5" w:rsidRDefault="00CC7DF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7DF5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Report</w:t>
      </w:r>
      <w:r w:rsidRPr="00CC7DF5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n settlement of salary</w:t>
      </w:r>
      <w:r w:rsidRPr="00CC7DF5">
        <w:rPr>
          <w:rFonts w:ascii="Arial" w:hAnsi="Arial" w:cs="Arial"/>
          <w:sz w:val="20"/>
          <w:szCs w:val="20"/>
        </w:rPr>
        <w:t xml:space="preserve"> and remuneration of members of the Board of Directors, members of the Supervisory Board and the Company Manager in 2019; in which: </w:t>
      </w:r>
    </w:p>
    <w:p w:rsidR="00CB00B1" w:rsidRDefault="00CC7DF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7DF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Total salary of the Manager (</w:t>
      </w:r>
      <w:r w:rsidR="00CB00B1">
        <w:rPr>
          <w:rFonts w:ascii="Arial" w:hAnsi="Arial" w:cs="Arial"/>
          <w:sz w:val="20"/>
          <w:szCs w:val="20"/>
        </w:rPr>
        <w:t xml:space="preserve">Chair of </w:t>
      </w:r>
      <w:r w:rsidRPr="00CC7DF5">
        <w:rPr>
          <w:rFonts w:ascii="Arial" w:hAnsi="Arial" w:cs="Arial"/>
          <w:sz w:val="20"/>
          <w:szCs w:val="20"/>
        </w:rPr>
        <w:t>the Board of Directors cum Director</w:t>
      </w:r>
      <w:r w:rsidR="00CB00B1">
        <w:rPr>
          <w:rFonts w:ascii="Arial" w:hAnsi="Arial" w:cs="Arial"/>
          <w:sz w:val="20"/>
          <w:szCs w:val="20"/>
        </w:rPr>
        <w:t>,</w:t>
      </w:r>
      <w:r w:rsidRPr="00CC7DF5">
        <w:rPr>
          <w:rFonts w:ascii="Arial" w:hAnsi="Arial" w:cs="Arial"/>
          <w:sz w:val="20"/>
          <w:szCs w:val="20"/>
        </w:rPr>
        <w:t xml:space="preserve"> </w:t>
      </w:r>
      <w:r w:rsidR="00CB00B1">
        <w:rPr>
          <w:rFonts w:ascii="Arial" w:hAnsi="Arial" w:cs="Arial"/>
          <w:sz w:val="20"/>
          <w:szCs w:val="20"/>
        </w:rPr>
        <w:t>Management Board, Chief Accountant, Head</w:t>
      </w:r>
      <w:r w:rsidRPr="00CC7DF5">
        <w:rPr>
          <w:rFonts w:ascii="Arial" w:hAnsi="Arial" w:cs="Arial"/>
          <w:sz w:val="20"/>
          <w:szCs w:val="20"/>
        </w:rPr>
        <w:t xml:space="preserve"> of the Supervisory Board</w:t>
      </w:r>
      <w:r w:rsidR="00CB00B1">
        <w:rPr>
          <w:rFonts w:ascii="Arial" w:hAnsi="Arial" w:cs="Arial"/>
          <w:sz w:val="20"/>
          <w:szCs w:val="20"/>
        </w:rPr>
        <w:t>): VND</w:t>
      </w:r>
      <w:r w:rsidRPr="00CC7DF5">
        <w:rPr>
          <w:rFonts w:ascii="Arial" w:hAnsi="Arial" w:cs="Arial"/>
          <w:sz w:val="20"/>
          <w:szCs w:val="20"/>
        </w:rPr>
        <w:t xml:space="preserve"> 2,473,114,800 </w:t>
      </w:r>
    </w:p>
    <w:p w:rsidR="00CB00B1" w:rsidRDefault="00CC7DF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7DF5">
        <w:rPr>
          <w:rFonts w:ascii="Arial" w:hAnsi="Arial" w:cs="Arial"/>
          <w:sz w:val="20"/>
          <w:szCs w:val="20"/>
        </w:rPr>
        <w:t xml:space="preserve">- The total remuneration for part-time </w:t>
      </w:r>
      <w:r w:rsidR="00CB00B1">
        <w:rPr>
          <w:rFonts w:ascii="Arial" w:hAnsi="Arial" w:cs="Arial"/>
          <w:sz w:val="20"/>
          <w:szCs w:val="20"/>
        </w:rPr>
        <w:t>members of the Board of Directors an</w:t>
      </w:r>
      <w:r w:rsidRPr="00CC7DF5">
        <w:rPr>
          <w:rFonts w:ascii="Arial" w:hAnsi="Arial" w:cs="Arial"/>
          <w:sz w:val="20"/>
          <w:szCs w:val="20"/>
        </w:rPr>
        <w:t xml:space="preserve">d part-time </w:t>
      </w:r>
      <w:r w:rsidR="00CB00B1">
        <w:rPr>
          <w:rFonts w:ascii="Arial" w:hAnsi="Arial" w:cs="Arial"/>
          <w:sz w:val="20"/>
          <w:szCs w:val="20"/>
        </w:rPr>
        <w:t>members of the Supervisory Board: VND 236,683,200</w:t>
      </w:r>
    </w:p>
    <w:p w:rsidR="00D835AD" w:rsidRDefault="00CC7DF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7DF5">
        <w:rPr>
          <w:rFonts w:ascii="Arial" w:hAnsi="Arial" w:cs="Arial"/>
          <w:sz w:val="20"/>
          <w:szCs w:val="20"/>
        </w:rPr>
        <w:t>7. The plan on salary and remuneration fund for members of the Board of Directors, members of the Supervisory Board an</w:t>
      </w:r>
      <w:r w:rsidR="00D835AD">
        <w:rPr>
          <w:rFonts w:ascii="Arial" w:hAnsi="Arial" w:cs="Arial"/>
          <w:sz w:val="20"/>
          <w:szCs w:val="20"/>
        </w:rPr>
        <w:t xml:space="preserve">d the Company Manager in 2020; </w:t>
      </w:r>
      <w:r w:rsidRPr="00CC7DF5">
        <w:rPr>
          <w:rFonts w:ascii="Arial" w:hAnsi="Arial" w:cs="Arial"/>
          <w:sz w:val="20"/>
          <w:szCs w:val="20"/>
        </w:rPr>
        <w:t xml:space="preserve">in which: </w:t>
      </w:r>
    </w:p>
    <w:p w:rsidR="00D835AD" w:rsidRDefault="00D835A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 total salary fund for</w:t>
      </w:r>
      <w:r w:rsidR="00CC7DF5" w:rsidRPr="00CC7DF5">
        <w:rPr>
          <w:rFonts w:ascii="Arial" w:hAnsi="Arial" w:cs="Arial"/>
          <w:sz w:val="20"/>
          <w:szCs w:val="20"/>
        </w:rPr>
        <w:t xml:space="preserve"> the Manager</w:t>
      </w:r>
      <w:r>
        <w:rPr>
          <w:rFonts w:ascii="Arial" w:hAnsi="Arial" w:cs="Arial"/>
          <w:sz w:val="20"/>
          <w:szCs w:val="20"/>
        </w:rPr>
        <w:t>s</w:t>
      </w:r>
      <w:r w:rsidR="00CC7DF5" w:rsidRPr="00CC7DF5">
        <w:rPr>
          <w:rFonts w:ascii="Arial" w:hAnsi="Arial" w:cs="Arial"/>
          <w:sz w:val="20"/>
          <w:szCs w:val="20"/>
        </w:rPr>
        <w:t xml:space="preserve"> (Chairman of the Board of Directors cum Director, </w:t>
      </w:r>
      <w:r>
        <w:rPr>
          <w:rFonts w:ascii="Arial" w:hAnsi="Arial" w:cs="Arial"/>
          <w:sz w:val="20"/>
          <w:szCs w:val="20"/>
        </w:rPr>
        <w:t>Management Board</w:t>
      </w:r>
      <w:r w:rsidR="00CC7DF5" w:rsidRPr="00CC7DF5">
        <w:rPr>
          <w:rFonts w:ascii="Arial" w:hAnsi="Arial" w:cs="Arial"/>
          <w:sz w:val="20"/>
          <w:szCs w:val="20"/>
        </w:rPr>
        <w:t xml:space="preserve">, Chief Accountant, </w:t>
      </w:r>
      <w:r w:rsidR="00312733" w:rsidRPr="00CC7DF5">
        <w:rPr>
          <w:rFonts w:ascii="Arial" w:hAnsi="Arial" w:cs="Arial"/>
          <w:sz w:val="20"/>
          <w:szCs w:val="20"/>
        </w:rPr>
        <w:t>and Head</w:t>
      </w:r>
      <w:r w:rsidR="00CC7DF5" w:rsidRPr="00CC7DF5">
        <w:rPr>
          <w:rFonts w:ascii="Arial" w:hAnsi="Arial" w:cs="Arial"/>
          <w:sz w:val="20"/>
          <w:szCs w:val="20"/>
        </w:rPr>
        <w:t xml:space="preserve"> of the Supervisory </w:t>
      </w:r>
      <w:r>
        <w:rPr>
          <w:rFonts w:ascii="Arial" w:hAnsi="Arial" w:cs="Arial"/>
          <w:sz w:val="20"/>
          <w:szCs w:val="20"/>
        </w:rPr>
        <w:t>Board):</w:t>
      </w:r>
      <w:r w:rsidR="00312733">
        <w:rPr>
          <w:rFonts w:ascii="Arial" w:hAnsi="Arial" w:cs="Arial"/>
          <w:sz w:val="20"/>
          <w:szCs w:val="20"/>
        </w:rPr>
        <w:t xml:space="preserve"> expected</w:t>
      </w:r>
      <w:r w:rsidR="00CC7DF5" w:rsidRPr="00CC7DF5">
        <w:rPr>
          <w:rFonts w:ascii="Arial" w:hAnsi="Arial" w:cs="Arial"/>
          <w:sz w:val="20"/>
          <w:szCs w:val="20"/>
        </w:rPr>
        <w:t xml:space="preserve"> </w:t>
      </w:r>
      <w:r w:rsidR="00312733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 xml:space="preserve">VND </w:t>
      </w:r>
      <w:r w:rsidR="00CC7DF5" w:rsidRPr="00CC7DF5">
        <w:rPr>
          <w:rFonts w:ascii="Arial" w:hAnsi="Arial" w:cs="Arial"/>
          <w:sz w:val="20"/>
          <w:szCs w:val="20"/>
        </w:rPr>
        <w:t>2,327,264,440</w:t>
      </w:r>
    </w:p>
    <w:p w:rsidR="00B24D52" w:rsidRDefault="00CC7DF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7DF5">
        <w:rPr>
          <w:rFonts w:ascii="Arial" w:hAnsi="Arial" w:cs="Arial"/>
          <w:sz w:val="20"/>
          <w:szCs w:val="20"/>
        </w:rPr>
        <w:lastRenderedPageBreak/>
        <w:t xml:space="preserve">- The total remuneration of part-time </w:t>
      </w:r>
      <w:r w:rsidR="00D835AD">
        <w:rPr>
          <w:rFonts w:ascii="Arial" w:hAnsi="Arial" w:cs="Arial"/>
          <w:sz w:val="20"/>
          <w:szCs w:val="20"/>
        </w:rPr>
        <w:t xml:space="preserve">members of the Board of Directors </w:t>
      </w:r>
      <w:r w:rsidRPr="00CC7DF5">
        <w:rPr>
          <w:rFonts w:ascii="Arial" w:hAnsi="Arial" w:cs="Arial"/>
          <w:sz w:val="20"/>
          <w:szCs w:val="20"/>
        </w:rPr>
        <w:t>and part-time</w:t>
      </w:r>
      <w:r w:rsidR="00B24D52">
        <w:rPr>
          <w:rFonts w:ascii="Arial" w:hAnsi="Arial" w:cs="Arial"/>
          <w:sz w:val="20"/>
          <w:szCs w:val="20"/>
        </w:rPr>
        <w:t xml:space="preserve"> members of the Supervisory Board: expected at VND 222,724,960</w:t>
      </w:r>
    </w:p>
    <w:p w:rsidR="00B24D52" w:rsidRDefault="00CC7DF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7DF5">
        <w:rPr>
          <w:rFonts w:ascii="Arial" w:hAnsi="Arial" w:cs="Arial"/>
          <w:sz w:val="20"/>
          <w:szCs w:val="20"/>
        </w:rPr>
        <w:t xml:space="preserve">8. Amending and supplementing the </w:t>
      </w:r>
      <w:r w:rsidR="00B24D52">
        <w:rPr>
          <w:rFonts w:ascii="Arial" w:hAnsi="Arial" w:cs="Arial"/>
          <w:sz w:val="20"/>
          <w:szCs w:val="20"/>
        </w:rPr>
        <w:t>Company's C</w:t>
      </w:r>
      <w:r w:rsidRPr="00CC7DF5">
        <w:rPr>
          <w:rFonts w:ascii="Arial" w:hAnsi="Arial" w:cs="Arial"/>
          <w:sz w:val="20"/>
          <w:szCs w:val="20"/>
        </w:rPr>
        <w:t xml:space="preserve">harter: </w:t>
      </w:r>
    </w:p>
    <w:p w:rsidR="009115F4" w:rsidRDefault="00CC7DF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7DF5">
        <w:rPr>
          <w:rFonts w:ascii="Arial" w:hAnsi="Arial" w:cs="Arial"/>
          <w:sz w:val="20"/>
          <w:szCs w:val="20"/>
        </w:rPr>
        <w:t>-</w:t>
      </w:r>
      <w:r w:rsidR="009115F4">
        <w:rPr>
          <w:rFonts w:ascii="Arial" w:hAnsi="Arial" w:cs="Arial"/>
          <w:sz w:val="20"/>
          <w:szCs w:val="20"/>
        </w:rPr>
        <w:t xml:space="preserve"> Amending Clause 1, Article 5 in</w:t>
      </w:r>
      <w:r w:rsidRPr="00CC7DF5">
        <w:rPr>
          <w:rFonts w:ascii="Arial" w:hAnsi="Arial" w:cs="Arial"/>
          <w:sz w:val="20"/>
          <w:szCs w:val="20"/>
        </w:rPr>
        <w:t xml:space="preserve"> t</w:t>
      </w:r>
      <w:r w:rsidR="009115F4">
        <w:rPr>
          <w:rFonts w:ascii="Arial" w:hAnsi="Arial" w:cs="Arial"/>
          <w:sz w:val="20"/>
          <w:szCs w:val="20"/>
        </w:rPr>
        <w:t>he Company's Charter: “The C</w:t>
      </w:r>
      <w:r w:rsidRPr="00CC7DF5">
        <w:rPr>
          <w:rFonts w:ascii="Arial" w:hAnsi="Arial" w:cs="Arial"/>
          <w:sz w:val="20"/>
          <w:szCs w:val="20"/>
        </w:rPr>
        <w:t>ompany's charter capital is VND 35,031,640,000.  Th</w:t>
      </w:r>
      <w:r w:rsidR="009115F4">
        <w:rPr>
          <w:rFonts w:ascii="Arial" w:hAnsi="Arial" w:cs="Arial"/>
          <w:sz w:val="20"/>
          <w:szCs w:val="20"/>
        </w:rPr>
        <w:t>e total charter capital of the C</w:t>
      </w:r>
      <w:r w:rsidRPr="00CC7DF5">
        <w:rPr>
          <w:rFonts w:ascii="Arial" w:hAnsi="Arial" w:cs="Arial"/>
          <w:sz w:val="20"/>
          <w:szCs w:val="20"/>
        </w:rPr>
        <w:t>ompany is divided into 3,503,164 shar</w:t>
      </w:r>
      <w:r w:rsidR="009115F4">
        <w:rPr>
          <w:rFonts w:ascii="Arial" w:hAnsi="Arial" w:cs="Arial"/>
          <w:sz w:val="20"/>
          <w:szCs w:val="20"/>
        </w:rPr>
        <w:t>es with par value of VND 10,000</w:t>
      </w:r>
      <w:r w:rsidRPr="00CC7DF5">
        <w:rPr>
          <w:rFonts w:ascii="Arial" w:hAnsi="Arial" w:cs="Arial"/>
          <w:sz w:val="20"/>
          <w:szCs w:val="20"/>
        </w:rPr>
        <w:t xml:space="preserve">/ share </w:t>
      </w:r>
    </w:p>
    <w:p w:rsidR="002765B3" w:rsidRDefault="00CC7DF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7DF5">
        <w:rPr>
          <w:rFonts w:ascii="Arial" w:hAnsi="Arial" w:cs="Arial"/>
          <w:sz w:val="20"/>
          <w:szCs w:val="20"/>
        </w:rPr>
        <w:t>- In case the Compan</w:t>
      </w:r>
      <w:r w:rsidR="009115F4">
        <w:rPr>
          <w:rFonts w:ascii="Arial" w:hAnsi="Arial" w:cs="Arial"/>
          <w:sz w:val="20"/>
          <w:szCs w:val="20"/>
        </w:rPr>
        <w:t xml:space="preserve">y separates the position of </w:t>
      </w:r>
      <w:r w:rsidRPr="00CC7DF5">
        <w:rPr>
          <w:rFonts w:ascii="Arial" w:hAnsi="Arial" w:cs="Arial"/>
          <w:sz w:val="20"/>
          <w:szCs w:val="20"/>
        </w:rPr>
        <w:t>Chairman of the Board of Directors</w:t>
      </w:r>
      <w:r w:rsidR="009115F4">
        <w:rPr>
          <w:rFonts w:ascii="Arial" w:hAnsi="Arial" w:cs="Arial"/>
          <w:sz w:val="20"/>
          <w:szCs w:val="20"/>
        </w:rPr>
        <w:t xml:space="preserve"> (full-time) </w:t>
      </w:r>
      <w:r w:rsidR="00FF5364">
        <w:rPr>
          <w:rFonts w:ascii="Arial" w:hAnsi="Arial" w:cs="Arial"/>
          <w:sz w:val="20"/>
          <w:szCs w:val="20"/>
        </w:rPr>
        <w:t>and the Director of the C</w:t>
      </w:r>
      <w:r w:rsidRPr="00CC7DF5">
        <w:rPr>
          <w:rFonts w:ascii="Arial" w:hAnsi="Arial" w:cs="Arial"/>
          <w:sz w:val="20"/>
          <w:szCs w:val="20"/>
        </w:rPr>
        <w:t xml:space="preserve">ompany, the </w:t>
      </w:r>
      <w:r w:rsidR="00FF5364">
        <w:rPr>
          <w:rFonts w:ascii="Arial" w:hAnsi="Arial" w:cs="Arial"/>
          <w:sz w:val="20"/>
          <w:szCs w:val="20"/>
        </w:rPr>
        <w:t>annual General Meeting of Shareholders authorizes</w:t>
      </w:r>
      <w:r w:rsidRPr="00CC7DF5">
        <w:rPr>
          <w:rFonts w:ascii="Arial" w:hAnsi="Arial" w:cs="Arial"/>
          <w:sz w:val="20"/>
          <w:szCs w:val="20"/>
        </w:rPr>
        <w:t xml:space="preserve"> the</w:t>
      </w:r>
      <w:r w:rsidR="00FF5364">
        <w:rPr>
          <w:rFonts w:ascii="Arial" w:hAnsi="Arial" w:cs="Arial"/>
          <w:sz w:val="20"/>
          <w:szCs w:val="20"/>
        </w:rPr>
        <w:t xml:space="preserve"> Board of Directors to amend Clause 2, Article 11 in</w:t>
      </w:r>
      <w:r w:rsidRPr="00CC7DF5">
        <w:rPr>
          <w:rFonts w:ascii="Arial" w:hAnsi="Arial" w:cs="Arial"/>
          <w:sz w:val="20"/>
          <w:szCs w:val="20"/>
        </w:rPr>
        <w:t xml:space="preserve"> the Company's Charter as follows: “The </w:t>
      </w:r>
      <w:r w:rsidR="00FF5364">
        <w:rPr>
          <w:rFonts w:ascii="Arial" w:hAnsi="Arial" w:cs="Arial"/>
          <w:sz w:val="20"/>
          <w:szCs w:val="20"/>
        </w:rPr>
        <w:t>C</w:t>
      </w:r>
      <w:r w:rsidRPr="00CC7DF5">
        <w:rPr>
          <w:rFonts w:ascii="Arial" w:hAnsi="Arial" w:cs="Arial"/>
          <w:sz w:val="20"/>
          <w:szCs w:val="20"/>
        </w:rPr>
        <w:t>ompany has two legal representat</w:t>
      </w:r>
      <w:r w:rsidR="00FF5364">
        <w:rPr>
          <w:rFonts w:ascii="Arial" w:hAnsi="Arial" w:cs="Arial"/>
          <w:sz w:val="20"/>
          <w:szCs w:val="20"/>
        </w:rPr>
        <w:t>ives</w:t>
      </w:r>
      <w:r w:rsidR="002765B3">
        <w:rPr>
          <w:rFonts w:ascii="Arial" w:hAnsi="Arial" w:cs="Arial"/>
          <w:sz w:val="20"/>
          <w:szCs w:val="20"/>
        </w:rPr>
        <w:t xml:space="preserve">. </w:t>
      </w:r>
      <w:r w:rsidRPr="00CC7DF5">
        <w:rPr>
          <w:rFonts w:ascii="Arial" w:hAnsi="Arial" w:cs="Arial"/>
          <w:sz w:val="20"/>
          <w:szCs w:val="20"/>
        </w:rPr>
        <w:t>Chairman of the Board of Directors and the Director of the Company are the legal representatives of the Company</w:t>
      </w:r>
      <w:r w:rsidR="002765B3">
        <w:rPr>
          <w:rFonts w:ascii="Arial" w:hAnsi="Arial" w:cs="Arial"/>
          <w:sz w:val="20"/>
          <w:szCs w:val="20"/>
        </w:rPr>
        <w:t>”</w:t>
      </w:r>
    </w:p>
    <w:p w:rsidR="002765B3" w:rsidRDefault="00CC7DF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7DF5">
        <w:rPr>
          <w:rFonts w:ascii="Arial" w:hAnsi="Arial" w:cs="Arial"/>
          <w:sz w:val="20"/>
          <w:szCs w:val="20"/>
        </w:rPr>
        <w:t>9. Statement o</w:t>
      </w:r>
      <w:r w:rsidR="002765B3">
        <w:rPr>
          <w:rFonts w:ascii="Arial" w:hAnsi="Arial" w:cs="Arial"/>
          <w:sz w:val="20"/>
          <w:szCs w:val="20"/>
        </w:rPr>
        <w:t>n</w:t>
      </w:r>
      <w:r w:rsidRPr="00CC7DF5">
        <w:rPr>
          <w:rFonts w:ascii="Arial" w:hAnsi="Arial" w:cs="Arial"/>
          <w:sz w:val="20"/>
          <w:szCs w:val="20"/>
        </w:rPr>
        <w:t xml:space="preserve"> signing the petroleum trading contract </w:t>
      </w:r>
    </w:p>
    <w:p w:rsidR="002765B3" w:rsidRDefault="002765B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CC7DF5" w:rsidRPr="00CC7DF5">
        <w:rPr>
          <w:rFonts w:ascii="Arial" w:hAnsi="Arial" w:cs="Arial"/>
          <w:sz w:val="20"/>
          <w:szCs w:val="20"/>
        </w:rPr>
        <w:t xml:space="preserve"> Organization of implementation: </w:t>
      </w:r>
    </w:p>
    <w:p w:rsidR="00087E46" w:rsidRDefault="00CC7DF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7DF5">
        <w:rPr>
          <w:rFonts w:ascii="Arial" w:hAnsi="Arial" w:cs="Arial"/>
          <w:sz w:val="20"/>
          <w:szCs w:val="20"/>
        </w:rPr>
        <w:t xml:space="preserve">- </w:t>
      </w:r>
      <w:r w:rsidR="002765B3">
        <w:rPr>
          <w:rFonts w:ascii="Arial" w:hAnsi="Arial" w:cs="Arial"/>
          <w:sz w:val="20"/>
          <w:szCs w:val="20"/>
        </w:rPr>
        <w:t>The annual General Meeting of Shareholders authorizes</w:t>
      </w:r>
      <w:r w:rsidRPr="00CC7DF5">
        <w:rPr>
          <w:rFonts w:ascii="Arial" w:hAnsi="Arial" w:cs="Arial"/>
          <w:sz w:val="20"/>
          <w:szCs w:val="20"/>
        </w:rPr>
        <w:t xml:space="preserve"> the Board of Directors to implement the contents approved by the </w:t>
      </w:r>
      <w:r w:rsidR="00087E46">
        <w:rPr>
          <w:rFonts w:ascii="Arial" w:hAnsi="Arial" w:cs="Arial"/>
          <w:sz w:val="20"/>
          <w:szCs w:val="20"/>
        </w:rPr>
        <w:t>annual General Meeting of Shareholders</w:t>
      </w:r>
      <w:r w:rsidRPr="00CC7DF5">
        <w:rPr>
          <w:rFonts w:ascii="Arial" w:hAnsi="Arial" w:cs="Arial"/>
          <w:sz w:val="20"/>
          <w:szCs w:val="20"/>
        </w:rPr>
        <w:t xml:space="preserve"> in this </w:t>
      </w:r>
      <w:r w:rsidR="00087E46">
        <w:rPr>
          <w:rFonts w:ascii="Arial" w:hAnsi="Arial" w:cs="Arial"/>
          <w:sz w:val="20"/>
          <w:szCs w:val="20"/>
        </w:rPr>
        <w:t xml:space="preserve">General Mandate </w:t>
      </w:r>
    </w:p>
    <w:p w:rsidR="00312733" w:rsidRDefault="00CC7DF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7DF5">
        <w:rPr>
          <w:rFonts w:ascii="Arial" w:hAnsi="Arial" w:cs="Arial"/>
          <w:sz w:val="20"/>
          <w:szCs w:val="20"/>
        </w:rPr>
        <w:t xml:space="preserve">- This </w:t>
      </w:r>
      <w:r w:rsidR="00087E46">
        <w:rPr>
          <w:rFonts w:ascii="Arial" w:hAnsi="Arial" w:cs="Arial"/>
          <w:sz w:val="20"/>
          <w:szCs w:val="20"/>
        </w:rPr>
        <w:t>annual General Mandate was</w:t>
      </w:r>
      <w:r w:rsidRPr="00CC7DF5">
        <w:rPr>
          <w:rFonts w:ascii="Arial" w:hAnsi="Arial" w:cs="Arial"/>
          <w:sz w:val="20"/>
          <w:szCs w:val="20"/>
        </w:rPr>
        <w:t xml:space="preserve"> approved by the Annual General Meeting of Shareholders in 2020 of </w:t>
      </w:r>
      <w:r w:rsidR="00087E46" w:rsidRPr="00087E46">
        <w:rPr>
          <w:rFonts w:ascii="Arial" w:hAnsi="Arial" w:cs="Arial"/>
          <w:sz w:val="20"/>
          <w:szCs w:val="20"/>
        </w:rPr>
        <w:t xml:space="preserve">Ha </w:t>
      </w:r>
      <w:proofErr w:type="spellStart"/>
      <w:r w:rsidR="00087E46" w:rsidRPr="00087E46">
        <w:rPr>
          <w:rFonts w:ascii="Arial" w:hAnsi="Arial" w:cs="Arial"/>
          <w:sz w:val="20"/>
          <w:szCs w:val="20"/>
        </w:rPr>
        <w:t>Tay</w:t>
      </w:r>
      <w:proofErr w:type="spellEnd"/>
      <w:r w:rsidR="00087E46" w:rsidRPr="00087E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7E46" w:rsidRPr="00087E46">
        <w:rPr>
          <w:rFonts w:ascii="Arial" w:hAnsi="Arial" w:cs="Arial"/>
          <w:sz w:val="20"/>
          <w:szCs w:val="20"/>
        </w:rPr>
        <w:t>Petrolimex</w:t>
      </w:r>
      <w:proofErr w:type="spellEnd"/>
      <w:r w:rsidR="00087E46" w:rsidRPr="00087E46">
        <w:rPr>
          <w:rFonts w:ascii="Arial" w:hAnsi="Arial" w:cs="Arial"/>
          <w:sz w:val="20"/>
          <w:szCs w:val="20"/>
        </w:rPr>
        <w:t xml:space="preserve"> Transportation and Service Joint Stock Company </w:t>
      </w:r>
      <w:r w:rsidRPr="00CC7DF5">
        <w:rPr>
          <w:rFonts w:ascii="Arial" w:hAnsi="Arial" w:cs="Arial"/>
          <w:sz w:val="20"/>
          <w:szCs w:val="20"/>
        </w:rPr>
        <w:t xml:space="preserve">and </w:t>
      </w:r>
      <w:r w:rsidR="00312733">
        <w:rPr>
          <w:rFonts w:ascii="Arial" w:hAnsi="Arial" w:cs="Arial"/>
          <w:sz w:val="20"/>
          <w:szCs w:val="20"/>
        </w:rPr>
        <w:t>takes effect from June 18, 2020</w:t>
      </w:r>
    </w:p>
    <w:p w:rsidR="00876050" w:rsidRDefault="003127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All shareholders, the Board of Directors, the Management Board and Supervisory Board and relevant units, individuals are responsible for implementing the annual General Mandate </w:t>
      </w:r>
    </w:p>
    <w:p w:rsidR="00236F9F" w:rsidRDefault="00236F9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36F9F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0167"/>
    <w:rsid w:val="00022849"/>
    <w:rsid w:val="00023813"/>
    <w:rsid w:val="00025C89"/>
    <w:rsid w:val="000266C2"/>
    <w:rsid w:val="000365C1"/>
    <w:rsid w:val="00041D21"/>
    <w:rsid w:val="00045327"/>
    <w:rsid w:val="00050E3D"/>
    <w:rsid w:val="000603A9"/>
    <w:rsid w:val="00066EE1"/>
    <w:rsid w:val="00067F24"/>
    <w:rsid w:val="00071B5A"/>
    <w:rsid w:val="00075754"/>
    <w:rsid w:val="00081D49"/>
    <w:rsid w:val="00083EB7"/>
    <w:rsid w:val="00085176"/>
    <w:rsid w:val="00085D47"/>
    <w:rsid w:val="00087E46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42CA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7E2F"/>
    <w:rsid w:val="001732CF"/>
    <w:rsid w:val="00183E6D"/>
    <w:rsid w:val="0018575C"/>
    <w:rsid w:val="00185E8C"/>
    <w:rsid w:val="00191F14"/>
    <w:rsid w:val="001937B4"/>
    <w:rsid w:val="00194B6D"/>
    <w:rsid w:val="001B0D98"/>
    <w:rsid w:val="001C0B2B"/>
    <w:rsid w:val="001C6831"/>
    <w:rsid w:val="001C7CD2"/>
    <w:rsid w:val="001D3C74"/>
    <w:rsid w:val="001D5E4A"/>
    <w:rsid w:val="001E4B88"/>
    <w:rsid w:val="001E707C"/>
    <w:rsid w:val="001F0E1D"/>
    <w:rsid w:val="001F1773"/>
    <w:rsid w:val="001F34A1"/>
    <w:rsid w:val="001F6744"/>
    <w:rsid w:val="001F74DC"/>
    <w:rsid w:val="001F7F19"/>
    <w:rsid w:val="0020011C"/>
    <w:rsid w:val="0020017D"/>
    <w:rsid w:val="00202525"/>
    <w:rsid w:val="00203027"/>
    <w:rsid w:val="00203391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36F9F"/>
    <w:rsid w:val="0024779B"/>
    <w:rsid w:val="0025148F"/>
    <w:rsid w:val="00251CD9"/>
    <w:rsid w:val="00252CE0"/>
    <w:rsid w:val="00254EA2"/>
    <w:rsid w:val="0026535B"/>
    <w:rsid w:val="002701FB"/>
    <w:rsid w:val="002765B3"/>
    <w:rsid w:val="002779D1"/>
    <w:rsid w:val="0028284F"/>
    <w:rsid w:val="00287698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00BF"/>
    <w:rsid w:val="00303167"/>
    <w:rsid w:val="00304722"/>
    <w:rsid w:val="0030503E"/>
    <w:rsid w:val="00311EFA"/>
    <w:rsid w:val="00312733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1F06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02CB"/>
    <w:rsid w:val="003D18D5"/>
    <w:rsid w:val="003D36CC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4F15"/>
    <w:rsid w:val="00496733"/>
    <w:rsid w:val="004A5289"/>
    <w:rsid w:val="004A554D"/>
    <w:rsid w:val="004B2BA6"/>
    <w:rsid w:val="004B4798"/>
    <w:rsid w:val="004C144F"/>
    <w:rsid w:val="004C22A2"/>
    <w:rsid w:val="004D5E0D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2688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17C2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650F5"/>
    <w:rsid w:val="00672026"/>
    <w:rsid w:val="006878E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C2D1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2DD4"/>
    <w:rsid w:val="00853748"/>
    <w:rsid w:val="008544C2"/>
    <w:rsid w:val="00856DE8"/>
    <w:rsid w:val="0086029D"/>
    <w:rsid w:val="008647D9"/>
    <w:rsid w:val="00876050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5F4"/>
    <w:rsid w:val="00911890"/>
    <w:rsid w:val="00912FBD"/>
    <w:rsid w:val="009232CB"/>
    <w:rsid w:val="00923467"/>
    <w:rsid w:val="00926469"/>
    <w:rsid w:val="009264B0"/>
    <w:rsid w:val="009331DA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25414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204F"/>
    <w:rsid w:val="00AF67BE"/>
    <w:rsid w:val="00B04704"/>
    <w:rsid w:val="00B06970"/>
    <w:rsid w:val="00B10B5A"/>
    <w:rsid w:val="00B142AC"/>
    <w:rsid w:val="00B14B4A"/>
    <w:rsid w:val="00B21CC3"/>
    <w:rsid w:val="00B23E76"/>
    <w:rsid w:val="00B24D52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B3BD7"/>
    <w:rsid w:val="00BC3120"/>
    <w:rsid w:val="00BC7A94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1645E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17EF"/>
    <w:rsid w:val="00C940B5"/>
    <w:rsid w:val="00C97B83"/>
    <w:rsid w:val="00CA1BB3"/>
    <w:rsid w:val="00CB00B1"/>
    <w:rsid w:val="00CB28D5"/>
    <w:rsid w:val="00CB4844"/>
    <w:rsid w:val="00CB5C91"/>
    <w:rsid w:val="00CC13C8"/>
    <w:rsid w:val="00CC39D3"/>
    <w:rsid w:val="00CC7DF5"/>
    <w:rsid w:val="00CD1C0C"/>
    <w:rsid w:val="00CD22F3"/>
    <w:rsid w:val="00CD6745"/>
    <w:rsid w:val="00CD696B"/>
    <w:rsid w:val="00CE1334"/>
    <w:rsid w:val="00CE3AB2"/>
    <w:rsid w:val="00CE3EC6"/>
    <w:rsid w:val="00CE40C1"/>
    <w:rsid w:val="00CE6426"/>
    <w:rsid w:val="00CF04D0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2C6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5AD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0087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1CDF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E2BA8"/>
    <w:rsid w:val="00EF091F"/>
    <w:rsid w:val="00EF47D6"/>
    <w:rsid w:val="00F10AE1"/>
    <w:rsid w:val="00F264FB"/>
    <w:rsid w:val="00F272CE"/>
    <w:rsid w:val="00F320D6"/>
    <w:rsid w:val="00F33967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9597C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D6885"/>
    <w:rsid w:val="00FE1D49"/>
    <w:rsid w:val="00FE6715"/>
    <w:rsid w:val="00FF0429"/>
    <w:rsid w:val="00FF07BC"/>
    <w:rsid w:val="00FF5364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348</cp:revision>
  <dcterms:created xsi:type="dcterms:W3CDTF">2019-10-16T10:03:00Z</dcterms:created>
  <dcterms:modified xsi:type="dcterms:W3CDTF">2020-06-23T08:50:00Z</dcterms:modified>
</cp:coreProperties>
</file>